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32"/>
    <w:p>
      <w:pPr>
        <w:pStyle w:val="Heading1"/>
      </w:pPr>
      <w:r>
        <w:t xml:space="preserve">Homiletics Analysis: Deuteronomy 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32 is the Song of Moses, a 43-verse poem that Moses delivers to the assembly of Israel immediately before his death and Israel’s crossing into Canaan. The chapter divides into six movements: (1) an invocation calling heaven and earth as witnesses (vv. 1–3); (2) a statement of God’s character and Israel’s corruption as the foundational contrast (vv. 4–6); (3) a historical retrospective tracing God’s election, care, and provision for Israel in the wilderness (vv. 7–14); (4) the indictment — Israel grew fat and kicked, abandoning the Rock who made them for worthless idols (vv. 15–18); (5) God’s judicial response — wrath, hiding of face, and the use of foreign nations as instruments of judgment, followed by a turn toward mercy when His honor among the nations requires vindication of His people (vv. 19–38); and (6) the climactic declaration of God’s sole sovereignty — He alone is God, He alone kills and makes alive, and He will avenge His servants’ blood and atone for His land and people (vv. 39–43). The song functions as a prophetic witness against Israel — Moses is told explicitly (31:21) that this song will testify against the nation when it falls into the apostasy the song already predicts.</w:t>
      </w:r>
    </w:p>
    <w:p>
      <w:pPr>
        <w:pStyle w:val="BodyText"/>
      </w:pPr>
      <w:r>
        <w:rPr>
          <w:b/>
          <w:bCs/>
        </w:rPr>
        <w:t xml:space="preserve">This Text — Intent:</w:t>
      </w:r>
    </w:p>
    <w:p>
      <w:pPr>
        <w:pStyle w:val="BodyText"/>
      </w:pPr>
      <w:r>
        <w:t xml:space="preserve">God’s intent through the Song of Moses is to press the full weight of Israel’s accountability before the one true God who has been unambiguously faithful, while simultaneously anchoring Israel’s hope not in their own faithfulness but in God’s jealousy for His own name and His compassion for His servants. The song is not primarily a warning, though it warns. It is not primarily a doxology, though it praises. It is a comprehensive witness — God is establishing the full terms of the relationship so that when Israel falls, no one can claim ignorance, and when God acts in discipline or restoration, no one can claim injustice. The deepest intent is to drive Israel (and every subsequent reader) to the only stable foundation available: the character of the Rock, not the performance of the people.</w:t>
      </w:r>
    </w:p>
    <w:p>
      <w:r>
        <w:pict>
          <v:rect style="width:0;height:1.5pt" o:hralign="center" o:hrstd="t" o:hr="t"/>
        </w:pict>
      </w:r>
    </w:p>
    <w:p>
      <w:pPr>
        <w:pStyle w:val="FirstParagraph"/>
      </w:pPr>
      <w:r>
        <w:rPr>
          <w:b/>
          <w:bCs/>
        </w:rPr>
        <w:t xml:space="preserve">Subject Sentence:</w:t>
      </w:r>
      <w:r>
        <w:t xml:space="preserve"> </w:t>
      </w:r>
      <w:r>
        <w:t xml:space="preserve">The Song of Moses witnesses to God’s unimpeachable faithfulness and Israel’s chronic unfaithfulness — a case that ends in divine mercy, not destruction.</w:t>
      </w:r>
    </w:p>
    <w:p>
      <w:r>
        <w:pict>
          <v:rect style="width:0;height:1.5pt" o:hralign="center" o:hrstd="t" o:hr="t"/>
        </w:pict>
      </w:r>
    </w:p>
    <w:p>
      <w:pPr>
        <w:pStyle w:val="FirstParagraph"/>
      </w:pPr>
      <w:r>
        <w:rPr>
          <w:b/>
          <w:bCs/>
        </w:rPr>
        <w:t xml:space="preserve">Primary Claim:</w:t>
      </w:r>
      <w:r>
        <w:t xml:space="preserve"> </w:t>
      </w:r>
      <w:r>
        <w:t xml:space="preserve">God commissions this song as a permanent, prosecutorial witness against human unfaithfulness precisely because He intends to demonstrate that His mercy, not human loyalty, is the only secure ground on which His people can stand — and to vindicate His own name before the nations by doing what no idol can do: judge, restore, and atone.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“Rock”</w:t>
      </w:r>
      <w:r>
        <w:rPr>
          <w:b/>
          <w:bCs/>
        </w:rPr>
        <w:t xml:space="preserve"> </w:t>
      </w:r>
      <w:r>
        <w:rPr>
          <w:b/>
          <w:bCs/>
        </w:rPr>
        <w:t xml:space="preserve">(vv. 4, 15, 18, 30, 31, 37):</w:t>
      </w:r>
      <w:r>
        <w:t xml:space="preserve"> </w:t>
      </w:r>
      <w:r>
        <w:t xml:space="preserve">The repeated use of</w:t>
      </w:r>
      <w:r>
        <w:t xml:space="preserve"> </w:t>
      </w:r>
      <w:r>
        <w:rPr>
          <w:i/>
          <w:iCs/>
        </w:rPr>
        <w:t xml:space="preserve">tsur</w:t>
      </w:r>
      <w:r>
        <w:t xml:space="preserve"> </w:t>
      </w:r>
      <w:r>
        <w:t xml:space="preserve">(</w:t>
      </w:r>
      <w:r>
        <w:t xml:space="preserve">“Rock”</w:t>
      </w:r>
      <w:r>
        <w:t xml:space="preserve">) as a divine title is theologically central to the poem. The Reformed reading identifies this as one of the most concentrated OT deployments of divine immutability and reliability as the basis for covenant relationship — God’s character is the fixed point around which everything else in the poem turns. Israel’s unfaithfulness is comprehensible precisely because they abandoned a Rock for what verse 37 sarcastically calls</w:t>
      </w:r>
      <w:r>
        <w:t xml:space="preserve"> </w:t>
      </w:r>
      <w:r>
        <w:t xml:space="preserve">“the rock in which they took refuge”</w:t>
      </w:r>
      <w:r>
        <w:t xml:space="preserve"> </w:t>
      </w:r>
      <w:r>
        <w:t xml:space="preserve">— the false gods who cannot save. Some dispensational interpreters restrict the application of</w:t>
      </w:r>
      <w:r>
        <w:t xml:space="preserve"> </w:t>
      </w:r>
      <w:r>
        <w:t xml:space="preserve">“Rock”</w:t>
      </w:r>
      <w:r>
        <w:t xml:space="preserve"> </w:t>
      </w:r>
      <w:r>
        <w:t xml:space="preserve">language to national Israel’s covenantal standing, but Paul’s appropriation in 1 Corinthians 10:4 (</w:t>
      </w:r>
      <w:r>
        <w:t xml:space="preserve">“the Rock was Christ”</w:t>
      </w:r>
      <w:r>
        <w:t xml:space="preserve">) demonstrates that the canonical trajectory extends the imagery Christologically. The Reformed reading holds both: historically,</w:t>
      </w:r>
      <w:r>
        <w:t xml:space="preserve"> </w:t>
      </w:r>
      <w:r>
        <w:rPr>
          <w:i/>
          <w:iCs/>
        </w:rPr>
        <w:t xml:space="preserve">tsur</w:t>
      </w:r>
      <w:r>
        <w:t xml:space="preserve"> </w:t>
      </w:r>
      <w:r>
        <w:t xml:space="preserve">refers to YHWH as Israel’s covenant God; canonically, the Rock is identified with Christ, the divine Son, through whom covenant faithfulness is made fully visible.</w:t>
      </w:r>
    </w:p>
    <w:p>
      <w:pPr>
        <w:pStyle w:val="BodyText"/>
      </w:pPr>
      <w:r>
        <w:rPr>
          <w:b/>
          <w:bCs/>
        </w:rPr>
        <w:t xml:space="preserve">Verses 8–9 and the</w:t>
      </w:r>
      <w:r>
        <w:rPr>
          <w:b/>
          <w:bCs/>
        </w:rPr>
        <w:t xml:space="preserve"> </w:t>
      </w:r>
      <w:r>
        <w:rPr>
          <w:b/>
          <w:bCs/>
        </w:rPr>
        <w:t xml:space="preserve">“sons of God”</w:t>
      </w:r>
      <w:r>
        <w:rPr>
          <w:b/>
          <w:bCs/>
        </w:rPr>
        <w:t xml:space="preserve"> </w:t>
      </w:r>
      <w:r>
        <w:rPr>
          <w:b/>
          <w:bCs/>
        </w:rPr>
        <w:t xml:space="preserve">textual question:</w:t>
      </w:r>
      <w:r>
        <w:t xml:space="preserve"> </w:t>
      </w:r>
      <w:r>
        <w:t xml:space="preserve">The MT reads</w:t>
      </w:r>
      <w:r>
        <w:t xml:space="preserve"> </w:t>
      </w:r>
      <w:r>
        <w:t xml:space="preserve">“sons of Israel”</w:t>
      </w:r>
      <w:r>
        <w:t xml:space="preserve"> </w:t>
      </w:r>
      <w:r>
        <w:t xml:space="preserve">(בְּנֵי יִסְרָאֵל) while the LXX and DSS 4QDeutj read</w:t>
      </w:r>
      <w:r>
        <w:t xml:space="preserve"> </w:t>
      </w:r>
      <w:r>
        <w:t xml:space="preserve">“sons of God”</w:t>
      </w:r>
      <w:r>
        <w:t xml:space="preserve"> </w:t>
      </w:r>
      <w:r>
        <w:t xml:space="preserve">(בְ��נֵי אֱלֹהִים / ἀγγέλων θεοῦ). The DSS reading has led many contemporary OT scholars (notably Heiser) to argue that Deuteronomy 32:8 posits a council of divine beings assigned to govern the nations while YHWH takes Israel as His own portion. The Reformed reading acknowledges the textual evidence for</w:t>
      </w:r>
      <w:r>
        <w:t xml:space="preserve"> </w:t>
      </w:r>
      <w:r>
        <w:t xml:space="preserve">“sons of God”</w:t>
      </w:r>
      <w:r>
        <w:t xml:space="preserve"> </w:t>
      </w:r>
      <w:r>
        <w:t xml:space="preserve">is substantial and should not be dismissed — this is not a manufactured controversy. However, the theological point remains the same under either reading: YHWH’s election of Israel is a specific, personal, sovereign act that sets Israel apart from the general ordering of the nations. The</w:t>
      </w:r>
      <w:r>
        <w:t xml:space="preserve"> </w:t>
      </w:r>
      <w:r>
        <w:t xml:space="preserve">“divine council”</w:t>
      </w:r>
      <w:r>
        <w:t xml:space="preserve"> </w:t>
      </w:r>
      <w:r>
        <w:t xml:space="preserve">reading should be acknowledged rather than refuted, and its pastoral danger is overstating it into a form of theological pluralism the text does not support. The Reformed position holds that any subordinate divine beings referenced are fully under YHWH’s sovereign governance — there is no competitive polytheism in view.</w:t>
      </w:r>
    </w:p>
    <w:p>
      <w:pPr>
        <w:pStyle w:val="BodyText"/>
      </w:pPr>
      <w:r>
        <w:rPr>
          <w:b/>
          <w:bCs/>
        </w:rPr>
        <w:t xml:space="preserve">Verses 21–25 and the</w:t>
      </w:r>
      <w:r>
        <w:rPr>
          <w:b/>
          <w:bCs/>
        </w:rPr>
        <w:t xml:space="preserve"> </w:t>
      </w:r>
      <w:r>
        <w:rPr>
          <w:b/>
          <w:bCs/>
        </w:rPr>
        <w:t xml:space="preserve">“Lo-ammi”</w:t>
      </w:r>
      <w:r>
        <w:rPr>
          <w:b/>
          <w:bCs/>
        </w:rPr>
        <w:t xml:space="preserve"> </w:t>
      </w:r>
      <w:r>
        <w:rPr>
          <w:b/>
          <w:bCs/>
        </w:rPr>
        <w:t xml:space="preserve">pattern of judgment:</w:t>
      </w:r>
      <w:r>
        <w:t xml:space="preserve"> </w:t>
      </w:r>
      <w:r>
        <w:t xml:space="preserve">Arminian and Wesleyan readers sometimes press the judgment passages as evidence that God’s relationship with Israel is genuinely conditional — that the covenant can be broken by Israel’s unfaithfulness in a way that nullifies divine commitment. The Reformed reading acknowledges the genuine judicial content of these verses without conceding that God’s ultimate purposes for His people are thereby revoked. The structural turn in verse 26 —</w:t>
      </w:r>
      <w:r>
        <w:t xml:space="preserve"> </w:t>
      </w:r>
      <w:r>
        <w:t xml:space="preserve">“I said I would scatter them… but I feared the taunt of the enemy”</w:t>
      </w:r>
      <w:r>
        <w:t xml:space="preserve"> </w:t>
      </w:r>
      <w:r>
        <w:t xml:space="preserve">— demonstrates that God’s restraint in judgment is not contingent on Israel’s merit but on His own name and His own purposes among the nations. This is not God backing down because Israel deserves it; it is God acting for His own sake (cf. Ezekiel 36:22). The Reformed reading does not flatten the severity of the judgment passages — the hiding of God’s face (v. 20) is real judicial action — but it reads the structure of the poem as a whole, which moves inexorably toward divine vindication and atonement (v. 43), not toward abandonment.</w:t>
      </w:r>
    </w:p>
    <w:p>
      <w:pPr>
        <w:pStyle w:val="BodyText"/>
      </w:pPr>
      <w:r>
        <w:rPr>
          <w:b/>
          <w:bCs/>
        </w:rPr>
        <w:t xml:space="preserve">Verse 43 and the LXX/DSS expansion:</w:t>
      </w:r>
      <w:r>
        <w:t xml:space="preserve"> </w:t>
      </w:r>
      <w:r>
        <w:t xml:space="preserve">The LXX version of verse 43 is substantially longer than the MT and includes the line</w:t>
      </w:r>
      <w:r>
        <w:t xml:space="preserve"> </w:t>
      </w:r>
      <w:r>
        <w:t xml:space="preserve">“Rejoice, O nations, with His people”</w:t>
      </w:r>
      <w:r>
        <w:t xml:space="preserve"> </w:t>
      </w:r>
      <w:r>
        <w:t xml:space="preserve">— which Paul quotes directly in Romans 15:10 as evidence that the gospel to the Gentiles was always embedded in Israel’s Scriptures. The Reformed reading takes this as canonical confirmation that the Song of Moses was always eschatologically oriented toward a wider audience than national Israel. The inclusion of Gentiles in the final doxology is not Paul’s innovation — it is the song’s own horizon, made explicit through the LXX text Paul employs. This supports the Reformed hermeneutic that sees the Mosaic covenant always as contextually particular and canonically universal.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34:6–7</w:t>
      </w:r>
      <w:r>
        <w:t xml:space="preserve"> </w:t>
      </w:r>
      <w:r>
        <w:t xml:space="preserve">— The LORD’s self-declaration of character to Moses (</w:t>
      </w:r>
      <w:r>
        <w:t xml:space="preserve">“compassionate and gracious… forgiving iniquity… yet by no means clearing the guilty”</w:t>
      </w:r>
      <w:r>
        <w:t xml:space="preserve">) is the theological bedrock the Song of Moses assumes. The God who disciplines in Deuteronomy 32 is the same God who declared His name on Sinai.</w:t>
      </w:r>
    </w:p>
    <w:p>
      <w:pPr>
        <w:numPr>
          <w:ilvl w:val="0"/>
          <w:numId w:val="1001"/>
        </w:numPr>
      </w:pPr>
      <w:r>
        <w:rPr>
          <w:b/>
          <w:bCs/>
        </w:rPr>
        <w:t xml:space="preserve">Isaiah 1:2</w:t>
      </w:r>
      <w:r>
        <w:t xml:space="preserve"> </w:t>
      </w:r>
      <w:r>
        <w:t xml:space="preserve">—</w:t>
      </w:r>
      <w:r>
        <w:t xml:space="preserve"> </w:t>
      </w:r>
      <w:r>
        <w:t xml:space="preserve">“Hear, O heavens, and give ear, O earth”</w:t>
      </w:r>
      <w:r>
        <w:t xml:space="preserve"> </w:t>
      </w:r>
      <w:r>
        <w:t xml:space="preserve">directly echoes Deuteronomy 32:1, placing the prophetic tradition of calling creation as covenant witness in explicit continuity with Moses’s song. Isaiah’s indictment of Israel (</w:t>
      </w:r>
      <w:r>
        <w:t xml:space="preserve">“children I have reared and brought up, but they have rebelled against me”</w:t>
      </w:r>
      <w:r>
        <w:t xml:space="preserve">) is a prophetic replay of the Song’s central diagnosis.</w:t>
      </w:r>
    </w:p>
    <w:p>
      <w:pPr>
        <w:numPr>
          <w:ilvl w:val="0"/>
          <w:numId w:val="1001"/>
        </w:numPr>
      </w:pPr>
      <w:r>
        <w:rPr>
          <w:b/>
          <w:bCs/>
        </w:rPr>
        <w:t xml:space="preserve">Romans 10:19 and 15:10</w:t>
      </w:r>
      <w:r>
        <w:t xml:space="preserve"> </w:t>
      </w:r>
      <w:r>
        <w:t xml:space="preserve">— Paul quotes Deuteronomy 32:21 (</w:t>
      </w:r>
      <w:r>
        <w:t xml:space="preserve">“I will make you jealous of those who are not a nation”</w:t>
      </w:r>
      <w:r>
        <w:t xml:space="preserve">) and 32:43 (LXX) as direct scriptural warrants for the Gentile mission. This demonstrates that the Song of Moses is not merely Israel’s internal covenant document but a canonical anticipation of the gospel’s universal reach.</w:t>
      </w:r>
    </w:p>
    <w:p>
      <w:pPr>
        <w:numPr>
          <w:ilvl w:val="0"/>
          <w:numId w:val="1001"/>
        </w:numPr>
      </w:pPr>
      <w:r>
        <w:rPr>
          <w:b/>
          <w:bCs/>
        </w:rPr>
        <w:t xml:space="preserve">1 Corinthians 10:1–4</w:t>
      </w:r>
      <w:r>
        <w:t xml:space="preserve"> </w:t>
      </w:r>
      <w:r>
        <w:t xml:space="preserve">— Paul identifies the Rock in the wilderness with Christ, providing the definitive NT hermeneutical move that connects the</w:t>
      </w:r>
      <w:r>
        <w:t xml:space="preserve"> </w:t>
      </w:r>
      <w:r>
        <w:rPr>
          <w:i/>
          <w:iCs/>
        </w:rPr>
        <w:t xml:space="preserve">tsur</w:t>
      </w:r>
      <w:r>
        <w:t xml:space="preserve"> </w:t>
      </w:r>
      <w:r>
        <w:t xml:space="preserve">language of Deuteronomy 32 to Christology. The</w:t>
      </w:r>
      <w:r>
        <w:t xml:space="preserve"> </w:t>
      </w:r>
      <w:r>
        <w:t xml:space="preserve">“spiritual rock that followed them was Christ.”</w:t>
      </w:r>
    </w:p>
    <w:p>
      <w:pPr>
        <w:numPr>
          <w:ilvl w:val="0"/>
          <w:numId w:val="1001"/>
        </w:numPr>
      </w:pPr>
      <w:r>
        <w:rPr>
          <w:b/>
          <w:bCs/>
        </w:rPr>
        <w:t xml:space="preserve">Revelation 15:3–4</w:t>
      </w:r>
      <w:r>
        <w:t xml:space="preserve"> </w:t>
      </w:r>
      <w:r>
        <w:t xml:space="preserve">— The redeemed in heaven sing</w:t>
      </w:r>
      <w:r>
        <w:t xml:space="preserve"> </w:t>
      </w:r>
      <w:r>
        <w:t xml:space="preserve">“the song of Moses, the servant of God, and the song of the Lamb,”</w:t>
      </w:r>
      <w:r>
        <w:t xml:space="preserve"> </w:t>
      </w:r>
      <w:r>
        <w:t xml:space="preserve">demonstrating that Deuteronomy 32 is eschatologically alive — not archived. The same themes of divine sovereignty, vindication, and the fear of YHWH among the nations reach their final chorus in the new creation.</w:t>
      </w:r>
    </w:p>
    <w:p>
      <w:r>
        <w:pict>
          <v:rect style="width:0;height:1.5pt" o:hralign="center" o:hrstd="t" o:hr="t"/>
        </w:pict>
      </w:r>
    </w:p>
    <w:p>
      <w:pPr>
        <w:pStyle w:val="FirstParagraph"/>
      </w:pPr>
      <w:r>
        <w:rPr>
          <w:b/>
          <w:bCs/>
        </w:rPr>
        <w:t xml:space="preserve">Aim:</w:t>
      </w:r>
      <w:r>
        <w:t xml:space="preserve"> </w:t>
      </w:r>
      <w:r>
        <w:t xml:space="preserve">To expose the reader’s tendency to locate security in their own covenant performance rather than in God’s character, and to anchor them instead in the Rock whose faithfulness the song declares — driving them toward the worship and trust that the song itself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Invocation: heaven and earth summoned as witnesses; Moses’s teaching compared to rain and dew on grass; the LORD’s name proclaimed</w:t>
            </w:r>
          </w:p>
        </w:tc>
        <w:tc>
          <w:tcPr/>
          <w:p>
            <w:pPr>
              <w:pStyle w:val="Compact"/>
            </w:pPr>
            <w:r>
              <w:t xml:space="preserve">Sets the cosmic stakes — this is not a private national document; creation itself witnesses</w:t>
            </w:r>
          </w:p>
        </w:tc>
      </w:tr>
      <w:tr>
        <w:tc>
          <w:tcPr/>
          <w:p>
            <w:pPr>
              <w:pStyle w:val="Compact"/>
            </w:pPr>
            <w:r>
              <w:t xml:space="preserve">4</w:t>
            </w:r>
          </w:p>
        </w:tc>
        <w:tc>
          <w:tcPr/>
          <w:p>
            <w:pPr>
              <w:pStyle w:val="Compact"/>
            </w:pPr>
            <w:r>
              <w:t xml:space="preserve">The Rock: God’s works are perfect, all His ways are just; faithful, without iniquity, righteous and upright</w:t>
            </w:r>
          </w:p>
        </w:tc>
        <w:tc>
          <w:tcPr/>
          <w:p>
            <w:pPr>
              <w:pStyle w:val="Compact"/>
            </w:pPr>
            <w:r>
              <w:t xml:space="preserve">First use of</w:t>
            </w:r>
            <w:r>
              <w:t xml:space="preserve"> </w:t>
            </w:r>
            <w:r>
              <w:rPr>
                <w:i/>
                <w:iCs/>
              </w:rPr>
              <w:t xml:space="preserve">tsur</w:t>
            </w:r>
            <w:r>
              <w:t xml:space="preserve"> </w:t>
            </w:r>
            <w:r>
              <w:t xml:space="preserve">— God’s character as the fixed point of the entire poem</w:t>
            </w:r>
          </w:p>
        </w:tc>
      </w:tr>
      <w:tr>
        <w:tc>
          <w:tcPr/>
          <w:p>
            <w:pPr>
              <w:pStyle w:val="Compact"/>
            </w:pPr>
            <w:r>
              <w:t xml:space="preserve">5–6</w:t>
            </w:r>
          </w:p>
        </w:tc>
        <w:tc>
          <w:tcPr/>
          <w:p>
            <w:pPr>
              <w:pStyle w:val="Compact"/>
            </w:pPr>
            <w:r>
              <w:t xml:space="preserve">Israel’s corruption contrasted immediately: crooked and twisted generation, no longer His children;</w:t>
            </w:r>
            <w:r>
              <w:t xml:space="preserve"> </w:t>
            </w:r>
            <w:r>
              <w:t xml:space="preserve">“is this how you repay the LORD, you foolish and unwise people?”</w:t>
            </w:r>
          </w:p>
        </w:tc>
        <w:tc>
          <w:tcPr/>
          <w:p>
            <w:pPr>
              <w:pStyle w:val="Compact"/>
            </w:pPr>
            <w:r>
              <w:t xml:space="preserve">The contrast between Rock and people is established before the history begins</w:t>
            </w:r>
          </w:p>
        </w:tc>
      </w:tr>
      <w:tr>
        <w:tc>
          <w:tcPr/>
          <w:p>
            <w:pPr>
              <w:pStyle w:val="Compact"/>
            </w:pPr>
            <w:r>
              <w:t xml:space="preserve">7–9</w:t>
            </w:r>
          </w:p>
        </w:tc>
        <w:tc>
          <w:tcPr/>
          <w:p>
            <w:pPr>
              <w:pStyle w:val="Compact"/>
            </w:pPr>
            <w:r>
              <w:t xml:space="preserve">Call to remember: the Most High fixed the borders of the peoples according to the number of the sons of God; YHWH’s portion is His people, Jacob His allotted heritage</w:t>
            </w:r>
          </w:p>
        </w:tc>
        <w:tc>
          <w:tcPr/>
          <w:p>
            <w:pPr>
              <w:pStyle w:val="Compact"/>
            </w:pPr>
            <w:r>
              <w:t xml:space="preserve">Election rooted in primordial divine ordering; textual crux at v. 8 (sons of Israel vs. sons of God)</w:t>
            </w:r>
          </w:p>
        </w:tc>
      </w:tr>
      <w:tr>
        <w:tc>
          <w:tcPr/>
          <w:p>
            <w:pPr>
              <w:pStyle w:val="Compact"/>
            </w:pPr>
            <w:r>
              <w:t xml:space="preserve">10–14</w:t>
            </w:r>
          </w:p>
        </w:tc>
        <w:tc>
          <w:tcPr/>
          <w:p>
            <w:pPr>
              <w:pStyle w:val="Compact"/>
            </w:pPr>
            <w:r>
              <w:t xml:space="preserve">God’s care in the wilderness: found Israel in a desert wasteland, encircled and cared for them, kept them as the apple of His eye; eagle imagery of provision; abundance of the land given to them</w:t>
            </w:r>
          </w:p>
        </w:tc>
        <w:tc>
          <w:tcPr/>
          <w:p>
            <w:pPr>
              <w:pStyle w:val="Compact"/>
            </w:pPr>
            <w:r>
              <w:t xml:space="preserve">Pastoral and parental imagery; the tender specificity of divine providence</w:t>
            </w:r>
          </w:p>
        </w:tc>
      </w:tr>
      <w:tr>
        <w:tc>
          <w:tcPr/>
          <w:p>
            <w:pPr>
              <w:pStyle w:val="Compact"/>
            </w:pPr>
            <w:r>
              <w:t xml:space="preserve">15–18</w:t>
            </w:r>
          </w:p>
        </w:tc>
        <w:tc>
          <w:tcPr/>
          <w:p>
            <w:pPr>
              <w:pStyle w:val="Compact"/>
            </w:pPr>
            <w:r>
              <w:t xml:space="preserve">Israel’s apostasy: Jeshurun grew fat and kicked; abandoned the God who made him; provoked God with foreign gods, worthless idols, demons; forgot the Rock who gave them birth</w:t>
            </w:r>
          </w:p>
        </w:tc>
        <w:tc>
          <w:tcPr/>
          <w:p>
            <w:pPr>
              <w:pStyle w:val="Compact"/>
            </w:pPr>
            <w:r>
              <w:t xml:space="preserve">“Jeshurun”</w:t>
            </w:r>
            <w:r>
              <w:t xml:space="preserve"> </w:t>
            </w:r>
            <w:r>
              <w:t xml:space="preserve">(upright/beloved one) used ironically — the beloved one who betrayed the Beloved</w:t>
            </w:r>
          </w:p>
        </w:tc>
      </w:tr>
      <w:tr>
        <w:tc>
          <w:tcPr/>
          <w:p>
            <w:pPr>
              <w:pStyle w:val="Compact"/>
            </w:pPr>
            <w:r>
              <w:t xml:space="preserve">19–20</w:t>
            </w:r>
          </w:p>
        </w:tc>
        <w:tc>
          <w:tcPr/>
          <w:p>
            <w:pPr>
              <w:pStyle w:val="Compact"/>
            </w:pPr>
            <w:r>
              <w:t xml:space="preserve">Divine response: the LORD saw and spurned them; provoked by His sons and daughters;</w:t>
            </w:r>
            <w:r>
              <w:t xml:space="preserve"> </w:t>
            </w:r>
            <w:r>
              <w:t xml:space="preserve">“I will hide My face from them”</w:t>
            </w:r>
          </w:p>
        </w:tc>
        <w:tc>
          <w:tcPr/>
          <w:p>
            <w:pPr>
              <w:pStyle w:val="Compact"/>
            </w:pPr>
            <w:r>
              <w:t xml:space="preserve">Hiding of face = covenantal withdrawal; not absence but judicial distancing</w:t>
            </w:r>
          </w:p>
        </w:tc>
      </w:tr>
      <w:tr>
        <w:tc>
          <w:tcPr/>
          <w:p>
            <w:pPr>
              <w:pStyle w:val="Compact"/>
            </w:pPr>
            <w:r>
              <w:t xml:space="preserve">21–25</w:t>
            </w:r>
          </w:p>
        </w:tc>
        <w:tc>
          <w:tcPr/>
          <w:p>
            <w:pPr>
              <w:pStyle w:val="Compact"/>
            </w:pPr>
            <w:r>
              <w:t xml:space="preserve">Mirror judgment: as they provoked with no-god, God will provoke with no-nation; fire of divine anger; disasters — famine, pestilence, predators, sword — unleashed</w:t>
            </w:r>
          </w:p>
        </w:tc>
        <w:tc>
          <w:tcPr/>
          <w:p>
            <w:pPr>
              <w:pStyle w:val="Compact"/>
            </w:pPr>
            <w:r>
              <w:t xml:space="preserve">The logic of judicial proportionality; God’s jealousy operates by holy irony</w:t>
            </w:r>
          </w:p>
        </w:tc>
      </w:tr>
      <w:tr>
        <w:tc>
          <w:tcPr/>
          <w:p>
            <w:pPr>
              <w:pStyle w:val="Compact"/>
            </w:pPr>
            <w:r>
              <w:t xml:space="preserve">26–27</w:t>
            </w:r>
          </w:p>
        </w:tc>
        <w:tc>
          <w:tcPr/>
          <w:p>
            <w:pPr>
              <w:pStyle w:val="Compact"/>
            </w:pPr>
            <w:r>
              <w:t xml:space="preserve">Divine restraint:</w:t>
            </w:r>
            <w:r>
              <w:t xml:space="preserve"> </w:t>
            </w:r>
            <w:r>
              <w:t xml:space="preserve">“I said I would scatter them… but I dreaded the taunt of the enemy”</w:t>
            </w:r>
          </w:p>
        </w:tc>
        <w:tc>
          <w:tcPr/>
          <w:p>
            <w:pPr>
              <w:pStyle w:val="Compact"/>
            </w:pPr>
            <w:r>
              <w:t xml:space="preserve">The pivot — God’s restraint is for His own name’s sake, not Israel’s merit; cf. Ezekiel 36</w:t>
            </w:r>
          </w:p>
        </w:tc>
      </w:tr>
      <w:tr>
        <w:tc>
          <w:tcPr/>
          <w:p>
            <w:pPr>
              <w:pStyle w:val="Compact"/>
            </w:pPr>
            <w:r>
              <w:t xml:space="preserve">28–33</w:t>
            </w:r>
          </w:p>
        </w:tc>
        <w:tc>
          <w:tcPr/>
          <w:p>
            <w:pPr>
              <w:pStyle w:val="Compact"/>
            </w:pPr>
            <w:r>
              <w:t xml:space="preserve">Israel’s foolishness described: a nation without sense; their enemies misread the victory as their own power; their vine is Sodom’s vine, their wine the poison of serpents</w:t>
            </w:r>
          </w:p>
        </w:tc>
        <w:tc>
          <w:tcPr/>
          <w:p>
            <w:pPr>
              <w:pStyle w:val="Compact"/>
            </w:pPr>
            <w:r>
              <w:t xml:space="preserve">The nations are instruments but not the cause; God is the cause of Israel’s defeat</w:t>
            </w:r>
          </w:p>
        </w:tc>
      </w:tr>
      <w:tr>
        <w:tc>
          <w:tcPr/>
          <w:p>
            <w:pPr>
              <w:pStyle w:val="Compact"/>
            </w:pPr>
            <w:r>
              <w:t xml:space="preserve">34–38</w:t>
            </w:r>
          </w:p>
        </w:tc>
        <w:tc>
          <w:tcPr/>
          <w:p>
            <w:pPr>
              <w:pStyle w:val="Compact"/>
            </w:pPr>
            <w:r>
              <w:t xml:space="preserve">Divine vindication approaching: vengeance stored up, sealed; God will judge in His time; what happened to the idols when things got desperate?</w:t>
            </w:r>
          </w:p>
        </w:tc>
        <w:tc>
          <w:tcPr/>
          <w:p>
            <w:pPr>
              <w:pStyle w:val="Compact"/>
            </w:pPr>
            <w:r>
              <w:t xml:space="preserve">Sarcastic climax — the idols failed to deliver; YHWH has been doing what idols cannot</w:t>
            </w:r>
          </w:p>
        </w:tc>
      </w:tr>
      <w:tr>
        <w:tc>
          <w:tcPr/>
          <w:p>
            <w:pPr>
              <w:pStyle w:val="Compact"/>
            </w:pPr>
            <w:r>
              <w:t xml:space="preserve">39</w:t>
            </w:r>
          </w:p>
        </w:tc>
        <w:tc>
          <w:tcPr/>
          <w:p>
            <w:pPr>
              <w:pStyle w:val="Compact"/>
            </w:pPr>
            <w:r>
              <w:t xml:space="preserve">The climactic declaration:</w:t>
            </w:r>
            <w:r>
              <w:t xml:space="preserve"> </w:t>
            </w:r>
            <w:r>
              <w:t xml:space="preserve">“See now that I, even I, am He, and there is no god beside Me; I kill and I make alive; I wound and I heal; there is none who can deliver from My hand”</w:t>
            </w:r>
          </w:p>
        </w:tc>
        <w:tc>
          <w:tcPr/>
          <w:p>
            <w:pPr>
              <w:pStyle w:val="Compact"/>
            </w:pPr>
            <w:r>
              <w:t xml:space="preserve">The theological apex of the entire poem — divine exclusivity and sovereign omnipotence</w:t>
            </w:r>
          </w:p>
        </w:tc>
      </w:tr>
      <w:tr>
        <w:tc>
          <w:tcPr/>
          <w:p>
            <w:pPr>
              <w:pStyle w:val="Compact"/>
            </w:pPr>
            <w:r>
              <w:t xml:space="preserve">40–42</w:t>
            </w:r>
          </w:p>
        </w:tc>
        <w:tc>
          <w:tcPr/>
          <w:p>
            <w:pPr>
              <w:pStyle w:val="Compact"/>
            </w:pPr>
            <w:r>
              <w:t xml:space="preserve">Divine oath of vengeance against enemies:</w:t>
            </w:r>
            <w:r>
              <w:t xml:space="preserve"> </w:t>
            </w:r>
            <w:r>
              <w:t xml:space="preserve">“I lift My hand to heaven and swear”</w:t>
            </w:r>
            <w:r>
              <w:t xml:space="preserve">; sword, arrows drunk with blood, vengeance on adversaries</w:t>
            </w:r>
          </w:p>
        </w:tc>
        <w:tc>
          <w:tcPr/>
          <w:p>
            <w:pPr>
              <w:pStyle w:val="Compact"/>
            </w:pPr>
            <w:r>
              <w:t xml:space="preserve">Covenant-oath language; God binds Himself by Himself (cf. Genesis 22, Hebrews 6)</w:t>
            </w:r>
          </w:p>
        </w:tc>
      </w:tr>
      <w:tr>
        <w:tc>
          <w:tcPr/>
          <w:p>
            <w:pPr>
              <w:pStyle w:val="Compact"/>
            </w:pPr>
            <w:r>
              <w:t xml:space="preserve">43</w:t>
            </w:r>
          </w:p>
        </w:tc>
        <w:tc>
          <w:tcPr/>
          <w:p>
            <w:pPr>
              <w:pStyle w:val="Compact"/>
            </w:pPr>
            <w:r>
              <w:t xml:space="preserve">Closing doxology:</w:t>
            </w:r>
            <w:r>
              <w:t xml:space="preserve"> </w:t>
            </w:r>
            <w:r>
              <w:t xml:space="preserve">“Rejoice with Him, O heavens; bow down to Him, all gods… He will avenge the blood of His servants and render vengeance on His adversaries and atone for His land and His people”</w:t>
            </w:r>
          </w:p>
        </w:tc>
        <w:tc>
          <w:tcPr/>
          <w:p>
            <w:pPr>
              <w:pStyle w:val="Compact"/>
            </w:pPr>
            <w:r>
              <w:t xml:space="preserve">The atonement word (</w:t>
            </w:r>
            <w:r>
              <w:rPr>
                <w:i/>
                <w:iCs/>
              </w:rPr>
              <w:t xml:space="preserve">kipper</w:t>
            </w:r>
            <w:r>
              <w:t xml:space="preserve">) in the final line is the theological resolution — and Paul quotes the LXX expansion in Romans 15:10</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Witness Invoked: Heaven and Earth Called to Court</w:t>
            </w:r>
          </w:p>
        </w:tc>
      </w:tr>
      <w:tr>
        <w:tc>
          <w:tcPr/>
          <w:p>
            <w:pPr>
              <w:pStyle w:val="Compact"/>
            </w:pPr>
            <w:r>
              <w:t xml:space="preserve">2</w:t>
            </w:r>
          </w:p>
        </w:tc>
        <w:tc>
          <w:tcPr/>
          <w:p>
            <w:pPr>
              <w:pStyle w:val="Compact"/>
            </w:pPr>
            <w:r>
              <w:t xml:space="preserve">4–6</w:t>
            </w:r>
          </w:p>
        </w:tc>
        <w:tc>
          <w:tcPr/>
          <w:p>
            <w:pPr>
              <w:pStyle w:val="Compact"/>
            </w:pPr>
            <w:r>
              <w:t xml:space="preserve">The Fundamental Contrast: The Rock vs. the Corrupt Generation</w:t>
            </w:r>
          </w:p>
        </w:tc>
      </w:tr>
      <w:tr>
        <w:tc>
          <w:tcPr/>
          <w:p>
            <w:pPr>
              <w:pStyle w:val="Compact"/>
            </w:pPr>
            <w:r>
              <w:t xml:space="preserve">3</w:t>
            </w:r>
          </w:p>
        </w:tc>
        <w:tc>
          <w:tcPr/>
          <w:p>
            <w:pPr>
              <w:pStyle w:val="Compact"/>
            </w:pPr>
            <w:r>
              <w:t xml:space="preserve">7–14</w:t>
            </w:r>
          </w:p>
        </w:tc>
        <w:tc>
          <w:tcPr/>
          <w:p>
            <w:pPr>
              <w:pStyle w:val="Compact"/>
            </w:pPr>
            <w:r>
              <w:t xml:space="preserve">The Indictment’s Foundation: What God Has Done for Israel</w:t>
            </w:r>
          </w:p>
        </w:tc>
      </w:tr>
      <w:tr>
        <w:tc>
          <w:tcPr/>
          <w:p>
            <w:pPr>
              <w:pStyle w:val="Compact"/>
            </w:pPr>
            <w:r>
              <w:t xml:space="preserve">4</w:t>
            </w:r>
          </w:p>
        </w:tc>
        <w:tc>
          <w:tcPr/>
          <w:p>
            <w:pPr>
              <w:pStyle w:val="Compact"/>
            </w:pPr>
            <w:r>
              <w:t xml:space="preserve">15–18</w:t>
            </w:r>
          </w:p>
        </w:tc>
        <w:tc>
          <w:tcPr/>
          <w:p>
            <w:pPr>
              <w:pStyle w:val="Compact"/>
            </w:pPr>
            <w:r>
              <w:t xml:space="preserve">The Betrayal: Jeshurun Grew Fat and Kicked</w:t>
            </w:r>
          </w:p>
        </w:tc>
      </w:tr>
      <w:tr>
        <w:tc>
          <w:tcPr/>
          <w:p>
            <w:pPr>
              <w:pStyle w:val="Compact"/>
            </w:pPr>
            <w:r>
              <w:t xml:space="preserve">5</w:t>
            </w:r>
          </w:p>
        </w:tc>
        <w:tc>
          <w:tcPr/>
          <w:p>
            <w:pPr>
              <w:pStyle w:val="Compact"/>
            </w:pPr>
            <w:r>
              <w:t xml:space="preserve">19–25</w:t>
            </w:r>
          </w:p>
        </w:tc>
        <w:tc>
          <w:tcPr/>
          <w:p>
            <w:pPr>
              <w:pStyle w:val="Compact"/>
            </w:pPr>
            <w:r>
              <w:t xml:space="preserve">The Judgment: Divine Face Hidden, Disasters Unleashed</w:t>
            </w:r>
          </w:p>
        </w:tc>
      </w:tr>
      <w:tr>
        <w:tc>
          <w:tcPr/>
          <w:p>
            <w:pPr>
              <w:pStyle w:val="Compact"/>
            </w:pPr>
            <w:r>
              <w:t xml:space="preserve">6</w:t>
            </w:r>
          </w:p>
        </w:tc>
        <w:tc>
          <w:tcPr/>
          <w:p>
            <w:pPr>
              <w:pStyle w:val="Compact"/>
            </w:pPr>
            <w:r>
              <w:t xml:space="preserve">26–38</w:t>
            </w:r>
          </w:p>
        </w:tc>
        <w:tc>
          <w:tcPr/>
          <w:p>
            <w:pPr>
              <w:pStyle w:val="Compact"/>
            </w:pPr>
            <w:r>
              <w:t xml:space="preserve">The Restraint and Its Reason: God Acts for His Own Name</w:t>
            </w:r>
          </w:p>
        </w:tc>
      </w:tr>
      <w:tr>
        <w:tc>
          <w:tcPr/>
          <w:p>
            <w:pPr>
              <w:pStyle w:val="Compact"/>
            </w:pPr>
            <w:r>
              <w:t xml:space="preserve">7</w:t>
            </w:r>
          </w:p>
        </w:tc>
        <w:tc>
          <w:tcPr/>
          <w:p>
            <w:pPr>
              <w:pStyle w:val="Compact"/>
            </w:pPr>
            <w:r>
              <w:t xml:space="preserve">39–43</w:t>
            </w:r>
          </w:p>
        </w:tc>
        <w:tc>
          <w:tcPr/>
          <w:p>
            <w:pPr>
              <w:pStyle w:val="Compact"/>
            </w:pPr>
            <w:r>
              <w:t xml:space="preserve">The Climax: The Rock Alone Is God — He Kills, Heals, Atones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Song of Moses witnesses to God’s unimpeachable faithfulness and Israel’s chronic unfaithfulness — a case that ends in divine mercy, not destruction.</w:t>
      </w:r>
    </w:p>
    <w:p>
      <w:pPr>
        <w:pStyle w:val="BodyText"/>
      </w:pPr>
      <w:r>
        <w:rPr>
          <w:b/>
          <w:bCs/>
        </w:rPr>
        <w:t xml:space="preserve">Primary Claim:</w:t>
      </w:r>
      <w:r>
        <w:t xml:space="preserve"> </w:t>
      </w:r>
      <w:r>
        <w:t xml:space="preserve">God commissions this song as a permanent, prosecutorial witness against human unfaithfulness precisely because He intends to demonstrate that His mercy, not human loyalty, is the only secure ground on which His people can stand — and to vindicate His own name before the nations by doing what no idol can do: judge, restore, and atone.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testimony of God’s past faithfulness is the specific antidote to present spiritual drift.</w:t>
      </w:r>
      <w:r>
        <w:t xml:space="preserve"> </w:t>
      </w:r>
      <w:r>
        <w:t xml:space="preserve">[Mind/Belief]</w:t>
      </w:r>
      <w:r>
        <w:t xml:space="preserve"> </w:t>
      </w:r>
      <w:r>
        <w:t xml:space="preserve">Moses does not write a motivational speech — he writes a legal brief with a historical retrospective at its center. Verses 7–14 are the evidential foundation: this is what God has actually done. The song calls Israel to</w:t>
      </w:r>
      <w:r>
        <w:t xml:space="preserve"> </w:t>
      </w:r>
      <w:r>
        <w:rPr>
          <w:i/>
          <w:iCs/>
        </w:rPr>
        <w:t xml:space="preserve">remember</w:t>
      </w:r>
      <w:r>
        <w:t xml:space="preserve"> </w:t>
      </w:r>
      <w:r>
        <w:t xml:space="preserve">because spiritual drift always involves selective amnesia — we forget what God has done and begin to act as though we have always provided for ourselves. The contemporary reader drifting from active faith is not primarily suffering from a motivational deficit; they are suffering from a memory deficit. The specific application is not to</w:t>
      </w:r>
      <w:r>
        <w:t xml:space="preserve"> </w:t>
      </w:r>
      <w:r>
        <w:t xml:space="preserve">“trust God more”</w:t>
      </w:r>
      <w:r>
        <w:t xml:space="preserve"> </w:t>
      </w:r>
      <w:r>
        <w:t xml:space="preserve">in the abstract but to return to the concrete record of what God has specifically done — in Scripture’s testimony and in personal history — and let that record correct the distortion that drift produces. The Rock has a track record. Consult it.</w:t>
      </w:r>
    </w:p>
    <w:p>
      <w:pPr>
        <w:pStyle w:val="BodyText"/>
      </w:pPr>
      <w:r>
        <w:rPr>
          <w:b/>
          <w:bCs/>
        </w:rPr>
        <w:t xml:space="preserve">2. The prosperity that leads to spiritual independence is one of the most dangerous forms of God’s blessing.</w:t>
      </w:r>
      <w:r>
        <w:t xml:space="preserve"> </w:t>
      </w:r>
      <w:r>
        <w:t xml:space="preserve">[Affections/Worship]</w:t>
      </w:r>
      <w:r>
        <w:t xml:space="preserve"> </w:t>
      </w:r>
      <w:r>
        <w:t xml:space="preserve">Verse 15 is one of the most sobering diagnostic verses in the entire Old Testament:</w:t>
      </w:r>
      <w:r>
        <w:t xml:space="preserve"> </w:t>
      </w:r>
      <w:r>
        <w:t xml:space="preserve">“But Jeshurun grew fat and kicked — you grew fat, stout, and sleek; then he forsook God who made him.”</w:t>
      </w:r>
      <w:r>
        <w:t xml:space="preserve"> </w:t>
      </w:r>
      <w:r>
        <w:t xml:space="preserve">The pattern is not poverty leading to apostasy — it is abundance leading to self-sufficiency. The beloved one received everything from God’s hand and concluded from that abundance that the hand was no longer necessary. Every reader who has experienced seasons of material comfort, professional success, or relational stability needs to feel the weight of this verse as a spiritual warning, not a historical curiosity. The affections are at stake: the well-fed soul is prone to redirect its worship toward the provision rather than the Provider. Where has abundance numbed your sense of dependence? What has God given you that you now treat as self-generated?</w:t>
      </w:r>
    </w:p>
    <w:p>
      <w:pPr>
        <w:pStyle w:val="BodyText"/>
      </w:pPr>
      <w:r>
        <w:rPr>
          <w:b/>
          <w:bCs/>
        </w:rPr>
        <w:t xml:space="preserve">3. God’s disciplines are judicial and purposeful — they are not evidence that He has abandoned you.</w:t>
      </w:r>
      <w:r>
        <w:t xml:space="preserve"> </w:t>
      </w:r>
      <w:r>
        <w:t xml:space="preserve">[Mind/Belief]</w:t>
      </w:r>
      <w:r>
        <w:t xml:space="preserve"> </w:t>
      </w:r>
      <w:r>
        <w:t xml:space="preserve">The hiding of God’s face (v. 20) and the cascade of judgments in verses 19–25 are severe — and they are meant to be read as severe. But the structure of the poem forbids reading them as abandonment. The pivot at verse 26 — God restraining full wrath for His name’s sake — reveals that even in the most acute disciplines, God’s ultimate purposes remain intact. The reader in a season of what feels like divine silence or judicial hardship is not reading the situation correctly if they conclude</w:t>
      </w:r>
      <w:r>
        <w:t xml:space="preserve"> </w:t>
      </w:r>
      <w:r>
        <w:t xml:space="preserve">“God has left me.”</w:t>
      </w:r>
      <w:r>
        <w:t xml:space="preserve"> </w:t>
      </w:r>
      <w:r>
        <w:t xml:space="preserve">The Song of Moses teaches that there is a category of divine action called the hiding of the face — which is not the same as the absence of God. It is the most painful form of His covenantal engagement. This reframes suffering: the question is not</w:t>
      </w:r>
      <w:r>
        <w:t xml:space="preserve"> </w:t>
      </w:r>
      <w:r>
        <w:t xml:space="preserve">“has God abandoned me?”</w:t>
      </w:r>
      <w:r>
        <w:t xml:space="preserve"> </w:t>
      </w:r>
      <w:r>
        <w:t xml:space="preserve">but</w:t>
      </w:r>
      <w:r>
        <w:t xml:space="preserve"> </w:t>
      </w:r>
      <w:r>
        <w:t xml:space="preserve">“what is this discipline producing, and when will the restraint-for-His-name’s-sake reassert itself?”</w:t>
      </w:r>
    </w:p>
    <w:p>
      <w:pPr>
        <w:pStyle w:val="BodyText"/>
      </w:pPr>
      <w:r>
        <w:rPr>
          <w:b/>
          <w:bCs/>
        </w:rPr>
        <w:t xml:space="preserve">4. When all human and material supports fail, the only question that matters is: what can your god actually do?</w:t>
      </w:r>
      <w:r>
        <w:t xml:space="preserve"> </w:t>
      </w:r>
      <w:r>
        <w:t xml:space="preserve">[Affections/Worship]</w:t>
      </w:r>
      <w:r>
        <w:t xml:space="preserve"> </w:t>
      </w:r>
      <w:r>
        <w:t xml:space="preserve">The sarcasm of verses 37–38 is pastoral as much as polemical:</w:t>
      </w:r>
      <w:r>
        <w:t xml:space="preserve"> </w:t>
      </w:r>
      <w:r>
        <w:t xml:space="preserve">“Where are their gods, the rock in which they took refuge, who ate the fat of their sacrifices and drank the wine of their drink offering? Let them rise up and help you; let them be your protection!”</w:t>
      </w:r>
      <w:r>
        <w:t xml:space="preserve"> </w:t>
      </w:r>
      <w:r>
        <w:t xml:space="preserve">This is God pressing the utter uselessness of every false refuge at the moment of crisis. Every person has functional saviors — things they run to for security, comfort, identity, or deliverance that are not God. The song is asking the reader to apply this test before the moment of crisis rather than during it: when it all collapses, what will this give you? Career, reputation, financial security, human approval, physical health — none of these are rocks. They are the</w:t>
      </w:r>
      <w:r>
        <w:t xml:space="preserve"> </w:t>
      </w:r>
      <w:r>
        <w:t xml:space="preserve">“rock in which they took refuge”</w:t>
      </w:r>
      <w:r>
        <w:t xml:space="preserve"> </w:t>
      </w:r>
      <w:r>
        <w:t xml:space="preserve">that cannot rise up to help. Worship is not merely a Sunday category — it is the diagnostic question of what you actually trust when everything is on the line.</w:t>
      </w:r>
    </w:p>
    <w:p>
      <w:pPr>
        <w:pStyle w:val="BodyText"/>
      </w:pPr>
      <w:r>
        <w:rPr>
          <w:b/>
          <w:bCs/>
        </w:rPr>
        <w:t xml:space="preserve">5. The atonement word in verse 43 is the promise that reorients everything: God Himself will provide the cover for His people’s sin.</w:t>
      </w:r>
      <w:r>
        <w:t xml:space="preserve"> </w:t>
      </w:r>
      <w:r>
        <w:t xml:space="preserve">[Will/Behavior]</w:t>
      </w:r>
      <w:r>
        <w:t xml:space="preserve"> </w:t>
      </w:r>
      <w:r>
        <w:t xml:space="preserve">The final word of the song —</w:t>
      </w:r>
      <w:r>
        <w:t xml:space="preserve"> </w:t>
      </w:r>
      <w:r>
        <w:rPr>
          <w:i/>
          <w:iCs/>
        </w:rPr>
        <w:t xml:space="preserve">kipper</w:t>
      </w:r>
      <w:r>
        <w:t xml:space="preserve">,</w:t>
      </w:r>
      <w:r>
        <w:t xml:space="preserve"> </w:t>
      </w:r>
      <w:r>
        <w:t xml:space="preserve">“He will atone for His land and His people”</w:t>
      </w:r>
      <w:r>
        <w:t xml:space="preserve"> </w:t>
      </w:r>
      <w:r>
        <w:t xml:space="preserve">— is not a footnote. It is the resolution of every tension the poem has built. Who will fix the problem of Israel’s chronic unfaithfulness? Not Israel. The one who kills and makes alive (v. 39) will also cover the sin that made the killing necessary. The behavioral implication is direct: the reader who has been paralyzed by guilt, by the awareness of their own chronic unfaithfulness, by the recognition that their track record looks more like Jeshurun’s than the Rock’s — this reader is told that atonement is a divine act, not a human achievement. The concrete response is not self-improvement; it is return. Come back to the Rock. The same God who built the case against Israel’s faithlessness is the one who sealed the oath to cover their sin. Run to that, not away from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32 makes one of the most concentrated declarations of divine exclusivity in the entire Old Testament:</w:t>
      </w:r>
      <w:r>
        <w:t xml:space="preserve"> </w:t>
      </w:r>
      <w:r>
        <w:t xml:space="preserve">“See now that I, even I, am He, and there is no god beside Me”</w:t>
      </w:r>
      <w:r>
        <w:t xml:space="preserve"> </w:t>
      </w:r>
      <w:r>
        <w:t xml:space="preserve">(v. 39). This is not merely monotheism as intellectual proposition — it is monotheism as prosecutorial claim and pastoral foundation. The song teaches that God’s character (</w:t>
      </w:r>
      <w:r>
        <w:rPr>
          <w:i/>
          <w:iCs/>
        </w:rPr>
        <w:t xml:space="preserve">tsur</w:t>
      </w:r>
      <w:r>
        <w:t xml:space="preserve"> </w:t>
      </w:r>
      <w:r>
        <w:t xml:space="preserve">— Rock) is immutable across every season of the relationship, including seasons of judgment, and that His judicial acts are always coherent with His covenantal purposes. The chapter also makes theologically explicit what much of the OT implies: that God’s restraint in judgment is grounded in His own name and His own honor among the nations (v. 26–27), not in human merit. This anticipates the full prophetic tradition’s understanding (especially Isaiah 40–55 and Ezekiel 36) that redemption is always grounded in divine self-motivation, not human deserving. Finally, the atonement language of verse 43 places the resolution of the covenant problem — chronic human unfaithfulness — squarely in God’s own action, not Israel’s.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Song of Moses is one of the Old Testament’s clearest pre-prophetic statements of what Reformed theology calls the</w:t>
      </w:r>
      <w:r>
        <w:t xml:space="preserve"> </w:t>
      </w:r>
      <w:r>
        <w:rPr>
          <w:i/>
          <w:iCs/>
        </w:rPr>
        <w:t xml:space="preserve">monergism</w:t>
      </w:r>
      <w:r>
        <w:t xml:space="preserve"> </w:t>
      </w:r>
      <w:r>
        <w:t xml:space="preserve">of grace — the principle that salvation and restoration are accomplished by God’s sovereign initiative, not by any cooperative human contribution. The poem’s structure enacts this: the comprehensive record of God’s faithfulness (vv. 7–14) is followed by the comprehensive record of Israel’s failure (vv. 15–18), and the resolution is neither human repentance nor human merit but divine atonement (v. 43) grounded in divine jealousy for God’s own name (vv. 26–27). This is the covenantal logic that Paul exploits in Romans 10–11 and Romans 15 — the inclusion of the Gentiles is not a revision of the Mosaic program but its canonical fulfillment, visible in the song’s own eschatological horizon. For Reformed preaching, the Song of Moses is also an example of the Law/Gospel dialectic operating within a single text: the law’s prosecutorial function (the song as witness against Israel, 31:21) is in service of the gospel’s restorative promise (He will atone, v. 43). The song does not offer a choice between judgment and mercy — it moves through judgment to mercy by divine sovereign decision, which is the grammar of the gospel.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Rock has not changed, and neither has the problem — you are Jeshurun, fed and prosperous and prone to kick. But the last word of this song is not the indictment; it is the atonement. God built the prosecutorial case against His people’s chronic faithlessness and then closed it by swearing on His own name to cover what they could not fix. The only question the song leaves open is whether you will stand on the Rock or keep looking for one that cannot rise up to help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song to a</w:t>
      </w:r>
      <w:r>
        <w:rPr>
          <w:b/>
          <w:bCs/>
        </w:rPr>
        <w:t xml:space="preserve"> </w:t>
      </w:r>
      <w:r>
        <w:rPr>
          <w:b/>
          <w:bCs/>
        </w:rPr>
        <w:t xml:space="preserve">“consequences of sin”</w:t>
      </w:r>
      <w:r>
        <w:rPr>
          <w:b/>
          <w:bCs/>
        </w:rPr>
        <w:t xml:space="preserve"> </w:t>
      </w:r>
      <w:r>
        <w:rPr>
          <w:b/>
          <w:bCs/>
        </w:rPr>
        <w:t xml:space="preserve">warning without reaching verse 43.</w:t>
      </w:r>
      <w:r>
        <w:t xml:space="preserve"> </w:t>
      </w:r>
      <w:r>
        <w:t xml:space="preserve">The most common homiletical error with Deuteronomy 32 is preaching it as a cautionary tale that ends at the judgment sections (vv. 19–25), essentially saying</w:t>
      </w:r>
      <w:r>
        <w:t xml:space="preserve"> </w:t>
      </w:r>
      <w:r>
        <w:t xml:space="preserve">“don’t be like Israel or bad things will happen.”</w:t>
      </w:r>
      <w:r>
        <w:t xml:space="preserve"> </w:t>
      </w:r>
      <w:r>
        <w:t xml:space="preserve">This is both exegetically incomplete and pastorally destructive. The song’s own structure moves through judgment to vindication and atonement. A sermon that closes on the disasters of verses 19–25 has stopped the text in the middle of the prosecution and never reached the verdict. Verse 43 must be preached — or the song has not been preached.</w:t>
      </w:r>
    </w:p>
    <w:p>
      <w:pPr>
        <w:numPr>
          <w:ilvl w:val="0"/>
          <w:numId w:val="1002"/>
        </w:numPr>
      </w:pPr>
      <w:r>
        <w:rPr>
          <w:b/>
          <w:bCs/>
        </w:rPr>
        <w:t xml:space="preserve">Treating</w:t>
      </w:r>
      <w:r>
        <w:rPr>
          <w:b/>
          <w:bCs/>
        </w:rPr>
        <w:t xml:space="preserve"> </w:t>
      </w:r>
      <w:r>
        <w:rPr>
          <w:b/>
          <w:bCs/>
        </w:rPr>
        <w:t xml:space="preserve">“Jeshurun grew fat and kicked”</w:t>
      </w:r>
      <w:r>
        <w:rPr>
          <w:b/>
          <w:bCs/>
        </w:rPr>
        <w:t xml:space="preserve"> </w:t>
      </w:r>
      <w:r>
        <w:rPr>
          <w:b/>
          <w:bCs/>
        </w:rPr>
        <w:t xml:space="preserve">(v. 15) as ancient history rather than contemporary diagnosis.</w:t>
      </w:r>
      <w:r>
        <w:t xml:space="preserve"> </w:t>
      </w:r>
      <w:r>
        <w:t xml:space="preserve">The temptation in prosperous Western contexts is to preach this verse sympathetically, as something Israel did long ago and we would never do. This is exactly the homiletical posture the verse warns against — because the pattern it describes is the pattern of every generation of God’s people under abundance. The preacher must not let the congregation off the hook with historical distance. The question</w:t>
      </w:r>
      <w:r>
        <w:t xml:space="preserve"> </w:t>
      </w:r>
      <w:r>
        <w:t xml:space="preserve">“where has blessing produced independence from the Blesser?”</w:t>
      </w:r>
      <w:r>
        <w:t xml:space="preserve"> </w:t>
      </w:r>
      <w:r>
        <w:t xml:space="preserve">must be pressed personally and concretely.</w:t>
      </w:r>
    </w:p>
    <w:p>
      <w:pPr>
        <w:numPr>
          <w:ilvl w:val="0"/>
          <w:numId w:val="1002"/>
        </w:numPr>
      </w:pPr>
      <w:r>
        <w:rPr>
          <w:b/>
          <w:bCs/>
        </w:rPr>
        <w:t xml:space="preserve">Flattening the</w:t>
      </w:r>
      <w:r>
        <w:rPr>
          <w:b/>
          <w:bCs/>
        </w:rPr>
        <w:t xml:space="preserve"> </w:t>
      </w:r>
      <w:r>
        <w:rPr>
          <w:b/>
          <w:bCs/>
        </w:rPr>
        <w:t xml:space="preserve">“hiding of the face”</w:t>
      </w:r>
      <w:r>
        <w:rPr>
          <w:b/>
          <w:bCs/>
        </w:rPr>
        <w:t xml:space="preserve"> </w:t>
      </w:r>
      <w:r>
        <w:rPr>
          <w:b/>
          <w:bCs/>
        </w:rPr>
        <w:t xml:space="preserve">language (v. 20) into either liberal therapeutic categories or Reformed over-assurance.</w:t>
      </w:r>
      <w:r>
        <w:t xml:space="preserve"> </w:t>
      </w:r>
      <w:r>
        <w:t xml:space="preserve">Two failure modes exist here: (1) liberal/therapeutic preaching that treats divine discipline as emotional abandonment and rushes to reassure the congregation that</w:t>
      </w:r>
      <w:r>
        <w:t xml:space="preserve"> </w:t>
      </w:r>
      <w:r>
        <w:t xml:space="preserve">“God would never do that,”</w:t>
      </w:r>
      <w:r>
        <w:t xml:space="preserve"> </w:t>
      </w:r>
      <w:r>
        <w:t xml:space="preserve">which denies the text; and (2) over-assured Reformed preaching that minimizes the severity of what the hiding of God’s face actually costs — that glosses the pain of divine distance too quickly with doctrinal comfort. The text holds both the severity of covenantal discipline and the certainty of ultimate restoration in tension, and both must be honored.</w:t>
      </w:r>
    </w:p>
    <w:p>
      <w:pPr>
        <w:numPr>
          <w:ilvl w:val="0"/>
          <w:numId w:val="1002"/>
        </w:numPr>
      </w:pPr>
      <w:r>
        <w:rPr>
          <w:b/>
          <w:bCs/>
        </w:rPr>
        <w:t xml:space="preserve">Missing the Christological dimension of the Rock language.</w:t>
      </w:r>
      <w:r>
        <w:t xml:space="preserve"> </w:t>
      </w:r>
      <w:r>
        <w:t xml:space="preserve">Preachers who treat Deuteronomy 32 as purely OT covenant history without engaging Paul’s identification of the Rock with Christ (1 Corinthians 10:4) and the song’s eschatological continuation in Revelation 15:3 are preaching the passage below its canonical ceiling. The Rock is not merely a metaphor for divine reliability — it is, in Paul’s reading, a Christological anticipation. This does not mean allegorizing the text, but it does mean the canonical trajectory of the passage must be part of the sermon’s theological resolution.</w:t>
      </w:r>
    </w:p>
    <w:p>
      <w:pPr>
        <w:numPr>
          <w:ilvl w:val="0"/>
          <w:numId w:val="1002"/>
        </w:numPr>
      </w:pPr>
      <w:r>
        <w:rPr>
          <w:b/>
          <w:bCs/>
        </w:rPr>
        <w:t xml:space="preserve">Preaching the judicial sections (vv. 21–38) without the distinction between God’s instrument and God’s purpose.</w:t>
      </w:r>
      <w:r>
        <w:t xml:space="preserve"> </w:t>
      </w:r>
      <w:r>
        <w:t xml:space="preserve">Verses 21–33 describe foreign nations as instruments of divine judgment — but the nations misread their success as their own power (vv. 27–33). This distinction matters pastorally: God uses secondary causes in discipline without endorsing those causes or crediting them with the result. Preachers can help congregants understand painful providences (personal, national, ecclesial) by holding this distinction: God is the first cause, the instrument is the secondary cause, and the instrument’s motives are irrelevant to God’s purposes.</w:t>
      </w:r>
    </w:p>
    <w:p>
      <w:pPr>
        <w:numPr>
          <w:ilvl w:val="0"/>
          <w:numId w:val="1002"/>
        </w:numPr>
      </w:pPr>
      <w:r>
        <w:rPr>
          <w:b/>
          <w:bCs/>
        </w:rPr>
        <w:t xml:space="preserve">Ignoring the textual and canonical complexity of verse 43’s LXX expansion.</w:t>
      </w:r>
      <w:r>
        <w:t xml:space="preserve"> </w:t>
      </w:r>
      <w:r>
        <w:t xml:space="preserve">The MT and LXX differ substantially in verse 43. Paul quotes the LXX version in Romans 15:10. Dismissing this as a minor textual footnote loses one of the most important canonical connections in the New Testament — that the Gentile mission was always embedded in Israel’s covenant documents. This is not a textual criticism lecture for Sunday morning, but the preacher should know it and should ensure the sermon reaches the universal horizon of the song’s closing doxology.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2026-07-14T21:02:12Z</dcterms:created>
  <dcterms:modified xsi:type="dcterms:W3CDTF">2026-07-14T21:02:12Z</dcterms:modified>
</cp:coreProperties>
</file>

<file path=docProps/custom.xml><?xml version="1.0" encoding="utf-8"?>
<Properties xmlns="http://schemas.openxmlformats.org/officeDocument/2006/custom-properties" xmlns:vt="http://schemas.openxmlformats.org/officeDocument/2006/docPropsVTypes"/>
</file>